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0"/>
        <w:ind w:left="3930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412051" cy="412051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051" cy="412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before="0"/>
        <w:ind w:left="2597" w:right="2878" w:firstLine="0"/>
        <w:jc w:val="center"/>
        <w:rPr>
          <w:sz w:val="20"/>
        </w:rPr>
      </w:pPr>
      <w:r>
        <w:rPr>
          <w:sz w:val="24"/>
        </w:rPr>
        <w:t>ΕΛΛΗΝΙΚΗ ΔΗΜΟΚΡΑΤΙΑ </w:t>
      </w:r>
      <w:r>
        <w:rPr>
          <w:sz w:val="20"/>
        </w:rPr>
        <w:t>ΥΠΟΥΡΓΕΙΟ</w:t>
      </w:r>
      <w:r>
        <w:rPr>
          <w:spacing w:val="-12"/>
          <w:sz w:val="20"/>
        </w:rPr>
        <w:t> </w:t>
      </w:r>
      <w:r>
        <w:rPr>
          <w:sz w:val="20"/>
        </w:rPr>
        <w:t>ΠΑΙΔΕΙΑΣ,</w:t>
      </w:r>
      <w:r>
        <w:rPr>
          <w:spacing w:val="-11"/>
          <w:sz w:val="20"/>
        </w:rPr>
        <w:t> </w:t>
      </w:r>
      <w:r>
        <w:rPr>
          <w:sz w:val="20"/>
        </w:rPr>
        <w:t>ΘΡΗΣΚΕΥΜΑΤΩΝ ΚΑΙ ΑΘΛΗΤΙΣΜΟΥ</w:t>
      </w:r>
    </w:p>
    <w:p>
      <w:pPr>
        <w:spacing w:before="0"/>
        <w:ind w:left="2597" w:right="2878" w:firstLine="0"/>
        <w:jc w:val="center"/>
        <w:rPr>
          <w:sz w:val="20"/>
        </w:rPr>
      </w:pPr>
      <w:r>
        <w:rPr>
          <w:sz w:val="20"/>
        </w:rPr>
        <w:t>ΓΡΑΦΕΙΟ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ΤΥΠΟΥ</w:t>
      </w:r>
    </w:p>
    <w:p>
      <w:pPr>
        <w:pStyle w:val="BodyText"/>
        <w:spacing w:before="202"/>
      </w:pPr>
    </w:p>
    <w:p>
      <w:pPr>
        <w:pStyle w:val="BodyText"/>
        <w:tabs>
          <w:tab w:pos="6135" w:val="left" w:leader="none"/>
        </w:tabs>
        <w:spacing w:before="0"/>
        <w:ind w:left="4844"/>
        <w:jc w:val="center"/>
      </w:pPr>
      <w:r>
        <w:rPr>
          <w:spacing w:val="-2"/>
        </w:rPr>
        <w:t>ΜΑΡΟΥΣΙ,</w:t>
      </w:r>
      <w:r>
        <w:rPr/>
        <w:tab/>
        <w:t>31</w:t>
      </w:r>
      <w:r>
        <w:rPr>
          <w:spacing w:val="73"/>
          <w:w w:val="150"/>
        </w:rPr>
        <w:t> </w:t>
      </w:r>
      <w:r>
        <w:rPr/>
        <w:t>-</w:t>
      </w:r>
      <w:r>
        <w:rPr>
          <w:spacing w:val="73"/>
          <w:w w:val="150"/>
        </w:rPr>
        <w:t> </w:t>
      </w:r>
      <w:r>
        <w:rPr/>
        <w:t>3 -</w:t>
      </w:r>
      <w:r>
        <w:rPr>
          <w:spacing w:val="48"/>
        </w:rPr>
        <w:t> </w:t>
      </w:r>
      <w:r>
        <w:rPr>
          <w:spacing w:val="-4"/>
        </w:rPr>
        <w:t>2025</w:t>
      </w:r>
    </w:p>
    <w:p>
      <w:pPr>
        <w:pStyle w:val="Title"/>
        <w:rPr>
          <w:u w:val="none"/>
        </w:rPr>
      </w:pPr>
      <w:r>
        <w:rPr>
          <w:u w:val="single"/>
        </w:rPr>
        <w:t>ΔΕΛΤΙΟ</w:t>
      </w:r>
      <w:r>
        <w:rPr>
          <w:spacing w:val="-5"/>
          <w:u w:val="single"/>
        </w:rPr>
        <w:t> </w:t>
      </w:r>
      <w:r>
        <w:rPr>
          <w:spacing w:val="-2"/>
          <w:u w:val="single"/>
        </w:rPr>
        <w:t>ΤΥΠΟΥ</w:t>
      </w:r>
    </w:p>
    <w:p>
      <w:pPr>
        <w:pStyle w:val="BodyText"/>
        <w:spacing w:before="78"/>
        <w:rPr>
          <w:b/>
        </w:rPr>
      </w:pPr>
    </w:p>
    <w:p>
      <w:pPr>
        <w:spacing w:line="360" w:lineRule="auto" w:before="0"/>
        <w:ind w:left="100" w:right="406" w:firstLine="567"/>
        <w:jc w:val="both"/>
        <w:rPr>
          <w:sz w:val="22"/>
        </w:rPr>
      </w:pPr>
      <w:r>
        <w:rPr>
          <w:sz w:val="22"/>
        </w:rPr>
        <w:t>Από το Υπουργείο Παιδείας, Θρησκευμάτων και Αθλητισμού σας υπενθυμίζουμε ότι</w:t>
      </w:r>
      <w:r>
        <w:rPr>
          <w:spacing w:val="40"/>
          <w:sz w:val="22"/>
        </w:rPr>
        <w:t> </w:t>
      </w:r>
      <w:r>
        <w:rPr>
          <w:sz w:val="22"/>
        </w:rPr>
        <w:t>η </w:t>
      </w:r>
      <w:r>
        <w:rPr>
          <w:b/>
          <w:sz w:val="22"/>
        </w:rPr>
        <w:t>υγειονομική εξέταση και πρακτική δοκιμασία (Αγωνίσματα) των υποψηφίων για τα Τ.Ε.Φ.Α.Α.</w:t>
      </w:r>
      <w:r>
        <w:rPr>
          <w:sz w:val="22"/>
        </w:rPr>
        <w:t>, θα διεξαχθούν </w:t>
      </w:r>
      <w:r>
        <w:rPr>
          <w:b/>
          <w:sz w:val="22"/>
        </w:rPr>
        <w:t>από τη Δευτέρα 16 Ιουνίου 2025</w:t>
      </w:r>
      <w:r>
        <w:rPr>
          <w:b/>
          <w:spacing w:val="40"/>
          <w:sz w:val="22"/>
        </w:rPr>
        <w:t> </w:t>
      </w:r>
      <w:r>
        <w:rPr>
          <w:b/>
          <w:sz w:val="22"/>
        </w:rPr>
        <w:t>μέχρι και την Παρασκευή 27 Ιουνίου 2025</w:t>
      </w:r>
      <w:r>
        <w:rPr>
          <w:sz w:val="22"/>
        </w:rPr>
        <w:t>.</w:t>
      </w:r>
    </w:p>
    <w:p>
      <w:pPr>
        <w:pStyle w:val="BodyText"/>
        <w:spacing w:line="360" w:lineRule="auto"/>
        <w:ind w:left="100" w:right="379" w:firstLine="540"/>
        <w:jc w:val="both"/>
      </w:pPr>
      <w:r>
        <w:rPr/>
        <w:t>Κατά τη διάρκεια του τρέχοντος σχολικού έτους (2024-2025) οι μαθητές της τελευταίας τάξης, των ΓΕΛ και ΕΠΑΛ</w:t>
      </w:r>
      <w:r>
        <w:rPr>
          <w:spacing w:val="40"/>
        </w:rPr>
        <w:t> </w:t>
      </w:r>
      <w:r>
        <w:rPr/>
        <w:t>καθώς και οι απόφοιτοι των Λυκείων που επιθυμούν να είναι υποψήφιοι για τα ΤΕΦΑΑ, κατέθεσαν αίτηση - δήλωση στο Λύκειό τους για συμμετοχή στις πρακτικές δοκιμασίες, προκειμένου να δημιουργηθεί ένα αρχείο υποψηφίων για τα Τ.Ε.Φ.Α.Α. </w:t>
      </w:r>
      <w:r>
        <w:rPr>
          <w:u w:val="single"/>
        </w:rPr>
        <w:t>Υποψήφιοι που δεν δήλωσαν συμμετοχή</w:t>
      </w:r>
      <w:r>
        <w:rPr/>
        <w:t> στις πρακτικές δοκιμασίες για τα Τ.Ε.Φ.Α.Α, </w:t>
      </w:r>
      <w:r>
        <w:rPr>
          <w:u w:val="single"/>
        </w:rPr>
        <w:t>ΔΕΝ μπορούν να συμμετάσχουν</w:t>
      </w:r>
      <w:r>
        <w:rPr/>
        <w:t> στις δοκιμασίες αυτές (αγωνίσματα) κατά τις ημέρες διεξαγωγής των εξετάσεων στα αγωνίσματα, διότι η αίτηση - δήλωση</w:t>
      </w:r>
      <w:r>
        <w:rPr>
          <w:spacing w:val="40"/>
        </w:rPr>
        <w:t> </w:t>
      </w:r>
      <w:r>
        <w:rPr/>
        <w:t>ήταν δεσμευτική.</w:t>
      </w:r>
    </w:p>
    <w:p>
      <w:pPr>
        <w:pStyle w:val="BodyText"/>
        <w:spacing w:line="360" w:lineRule="auto"/>
        <w:ind w:left="100" w:right="380" w:firstLine="540"/>
        <w:jc w:val="both"/>
      </w:pPr>
      <w:r>
        <w:rPr/>
        <w:t>Όσοι</w:t>
      </w:r>
      <w:r>
        <w:rPr>
          <w:spacing w:val="-1"/>
        </w:rPr>
        <w:t> </w:t>
      </w:r>
      <w:r>
        <w:rPr/>
        <w:t>απόφοιτοι</w:t>
      </w:r>
      <w:r>
        <w:rPr>
          <w:spacing w:val="80"/>
        </w:rPr>
        <w:t> </w:t>
      </w:r>
      <w:r>
        <w:rPr/>
        <w:t>διεκδικούν</w:t>
      </w:r>
      <w:r>
        <w:rPr>
          <w:spacing w:val="-1"/>
        </w:rPr>
        <w:t> </w:t>
      </w:r>
      <w:r>
        <w:rPr/>
        <w:t>την</w:t>
      </w:r>
      <w:r>
        <w:rPr>
          <w:spacing w:val="-1"/>
        </w:rPr>
        <w:t> </w:t>
      </w:r>
      <w:r>
        <w:rPr/>
        <w:t>εισαγωγή</w:t>
      </w:r>
      <w:r>
        <w:rPr>
          <w:spacing w:val="-1"/>
        </w:rPr>
        <w:t> </w:t>
      </w:r>
      <w:r>
        <w:rPr/>
        <w:t>τους</w:t>
      </w:r>
      <w:r>
        <w:rPr>
          <w:spacing w:val="-1"/>
        </w:rPr>
        <w:t> </w:t>
      </w:r>
      <w:r>
        <w:rPr/>
        <w:t>στα</w:t>
      </w:r>
      <w:r>
        <w:rPr>
          <w:spacing w:val="-1"/>
        </w:rPr>
        <w:t> </w:t>
      </w:r>
      <w:r>
        <w:rPr/>
        <w:t>ΤΕΦΑΑ</w:t>
      </w:r>
      <w:r>
        <w:rPr>
          <w:spacing w:val="-1"/>
        </w:rPr>
        <w:t> </w:t>
      </w:r>
      <w:r>
        <w:rPr/>
        <w:t>με</w:t>
      </w:r>
      <w:r>
        <w:rPr>
          <w:spacing w:val="-1"/>
        </w:rPr>
        <w:t> </w:t>
      </w:r>
      <w:r>
        <w:rPr/>
        <w:t>τη</w:t>
      </w:r>
      <w:r>
        <w:rPr>
          <w:spacing w:val="-1"/>
        </w:rPr>
        <w:t> </w:t>
      </w:r>
      <w:r>
        <w:rPr/>
        <w:t>διαδικασία</w:t>
      </w:r>
      <w:r>
        <w:rPr>
          <w:spacing w:val="-1"/>
        </w:rPr>
        <w:t> </w:t>
      </w:r>
      <w:r>
        <w:rPr/>
        <w:t>του</w:t>
      </w:r>
      <w:r>
        <w:rPr>
          <w:spacing w:val="-1"/>
        </w:rPr>
        <w:t> </w:t>
      </w:r>
      <w:r>
        <w:rPr>
          <w:u w:val="single"/>
        </w:rPr>
        <w:t>10%</w:t>
      </w:r>
      <w:r>
        <w:rPr/>
        <w:t> </w:t>
      </w:r>
      <w:r>
        <w:rPr>
          <w:u w:val="single"/>
        </w:rPr>
        <w:t>των θέσεων εισακτέων</w:t>
      </w:r>
      <w:r>
        <w:rPr/>
        <w:t>,</w:t>
      </w:r>
      <w:r>
        <w:rPr>
          <w:spacing w:val="40"/>
        </w:rPr>
        <w:t> </w:t>
      </w:r>
      <w:r>
        <w:rPr/>
        <w:t>χωρίς νέα εξέταση, συμμετέχουν στη διαδικασία επιλογής με βάση τη</w:t>
      </w:r>
      <w:r>
        <w:rPr>
          <w:spacing w:val="-2"/>
        </w:rPr>
        <w:t> </w:t>
      </w:r>
      <w:r>
        <w:rPr/>
        <w:t>βαθμολογία</w:t>
      </w:r>
      <w:r>
        <w:rPr>
          <w:spacing w:val="-2"/>
        </w:rPr>
        <w:t> </w:t>
      </w:r>
      <w:r>
        <w:rPr/>
        <w:t>της</w:t>
      </w:r>
      <w:r>
        <w:rPr>
          <w:spacing w:val="-2"/>
        </w:rPr>
        <w:t> </w:t>
      </w:r>
      <w:r>
        <w:rPr/>
        <w:t>τελευταίας</w:t>
      </w:r>
      <w:r>
        <w:rPr>
          <w:spacing w:val="-2"/>
        </w:rPr>
        <w:t> </w:t>
      </w:r>
      <w:r>
        <w:rPr/>
        <w:t>εξέτασής</w:t>
      </w:r>
      <w:r>
        <w:rPr>
          <w:spacing w:val="-2"/>
        </w:rPr>
        <w:t> </w:t>
      </w:r>
      <w:r>
        <w:rPr/>
        <w:t>τους</w:t>
      </w:r>
      <w:r>
        <w:rPr>
          <w:spacing w:val="-2"/>
        </w:rPr>
        <w:t> </w:t>
      </w:r>
      <w:r>
        <w:rPr/>
        <w:t>στα</w:t>
      </w:r>
      <w:r>
        <w:rPr>
          <w:spacing w:val="-2"/>
        </w:rPr>
        <w:t> </w:t>
      </w:r>
      <w:r>
        <w:rPr/>
        <w:t>πανελλαδικώς</w:t>
      </w:r>
      <w:r>
        <w:rPr>
          <w:spacing w:val="-2"/>
        </w:rPr>
        <w:t> </w:t>
      </w:r>
      <w:r>
        <w:rPr/>
        <w:t>εξεταζόμενα</w:t>
      </w:r>
      <w:r>
        <w:rPr>
          <w:spacing w:val="-2"/>
        </w:rPr>
        <w:t> </w:t>
      </w:r>
      <w:r>
        <w:rPr/>
        <w:t>μαθήματα</w:t>
      </w:r>
      <w:r>
        <w:rPr>
          <w:spacing w:val="-3"/>
        </w:rPr>
        <w:t> </w:t>
      </w:r>
      <w:r>
        <w:rPr/>
        <w:t>και πρακτικές δοκιμασίες.</w:t>
      </w:r>
      <w:r>
        <w:rPr>
          <w:spacing w:val="40"/>
        </w:rPr>
        <w:t> </w:t>
      </w:r>
      <w:r>
        <w:rPr/>
        <w:t>Οι υποψήφιοι αυτοί δεν έχουν τη δυνατότητα ή δικαίωμα να εξεταστούν ξανά στις πρακτικές δοκιμασίες για τα ΤΕΦΑΑ.</w:t>
      </w:r>
    </w:p>
    <w:p>
      <w:pPr>
        <w:pStyle w:val="BodyText"/>
        <w:spacing w:line="360" w:lineRule="auto"/>
        <w:ind w:left="100" w:right="380" w:firstLine="540"/>
        <w:jc w:val="both"/>
      </w:pPr>
      <w:r>
        <w:rPr/>
        <w:t>Oι υποψήφιοι κατά την προσέλευσή τους στις Επιτροπές υγειονομικής εξέτασης και πρακτικής δοκιμασίας, πρέπει να είναι εφοδιασμένοι με:</w:t>
      </w:r>
    </w:p>
    <w:p>
      <w:pPr>
        <w:pStyle w:val="BodyText"/>
        <w:ind w:left="667"/>
        <w:jc w:val="both"/>
      </w:pPr>
      <w:r>
        <w:rPr>
          <w:b/>
        </w:rPr>
        <w:t>α)</w:t>
      </w:r>
      <w:r>
        <w:rPr>
          <w:b/>
          <w:spacing w:val="-2"/>
        </w:rPr>
        <w:t> </w:t>
      </w:r>
      <w:r>
        <w:rPr/>
        <w:t>δύο</w:t>
      </w:r>
      <w:r>
        <w:rPr>
          <w:spacing w:val="-1"/>
        </w:rPr>
        <w:t> </w:t>
      </w:r>
      <w:r>
        <w:rPr/>
        <w:t>(2)</w:t>
      </w:r>
      <w:r>
        <w:rPr>
          <w:spacing w:val="-2"/>
        </w:rPr>
        <w:t> </w:t>
      </w:r>
      <w:r>
        <w:rPr/>
        <w:t>μικρές</w:t>
      </w:r>
      <w:r>
        <w:rPr>
          <w:spacing w:val="-1"/>
        </w:rPr>
        <w:t> </w:t>
      </w:r>
      <w:r>
        <w:rPr>
          <w:spacing w:val="-2"/>
        </w:rPr>
        <w:t>φωτογραφίες</w:t>
      </w:r>
    </w:p>
    <w:p>
      <w:pPr>
        <w:pStyle w:val="BodyText"/>
        <w:spacing w:before="66"/>
      </w:pPr>
    </w:p>
    <w:p>
      <w:pPr>
        <w:pStyle w:val="BodyText"/>
        <w:spacing w:line="360" w:lineRule="auto" w:before="0"/>
        <w:ind w:left="667" w:right="95"/>
        <w:jc w:val="both"/>
      </w:pPr>
      <w:r>
        <w:rPr>
          <w:b/>
        </w:rPr>
        <w:t>β) </w:t>
      </w:r>
      <w:r>
        <w:rPr/>
        <w:t>το δελτίο εξεταζομένου από το Λύκειό τους, όπου αναγράφεται ο κωδικός αριθμός του υποψηφίου και το οποίο θα τους χορηγηθεί πριν τις πανελλαδικές εξετάσεις</w:t>
      </w:r>
    </w:p>
    <w:p>
      <w:pPr>
        <w:pStyle w:val="BodyText"/>
        <w:spacing w:line="360" w:lineRule="auto"/>
        <w:ind w:left="667" w:right="96"/>
        <w:jc w:val="both"/>
      </w:pPr>
      <w:r>
        <w:rPr>
          <w:b/>
        </w:rPr>
        <w:t>γ) </w:t>
      </w:r>
      <w:r>
        <w:rPr/>
        <w:t>Δελτίο Αστυνομικής Ταυτότητας ή Διαβατήριο ή άλλο αποδεικτικό της ταυτότητας έγγραφο, και</w:t>
      </w:r>
    </w:p>
    <w:p>
      <w:pPr>
        <w:pStyle w:val="BodyText"/>
        <w:spacing w:after="0" w:line="360" w:lineRule="auto"/>
        <w:jc w:val="both"/>
        <w:sectPr>
          <w:type w:val="continuous"/>
          <w:pgSz w:w="11910" w:h="16840"/>
          <w:pgMar w:top="1240" w:bottom="280" w:left="1700" w:right="1417"/>
        </w:sectPr>
      </w:pPr>
    </w:p>
    <w:p>
      <w:pPr>
        <w:pStyle w:val="BodyText"/>
        <w:spacing w:line="360" w:lineRule="auto" w:before="40"/>
        <w:ind w:left="667"/>
      </w:pPr>
      <w:r>
        <w:rPr>
          <w:b/>
        </w:rPr>
        <w:t>δ)</w:t>
      </w:r>
      <w:r>
        <w:rPr>
          <w:b/>
          <w:spacing w:val="32"/>
        </w:rPr>
        <w:t> </w:t>
      </w:r>
      <w:r>
        <w:rPr/>
        <w:t>τις</w:t>
      </w:r>
      <w:r>
        <w:rPr>
          <w:spacing w:val="32"/>
        </w:rPr>
        <w:t> </w:t>
      </w:r>
      <w:r>
        <w:rPr/>
        <w:t>κάτωθι</w:t>
      </w:r>
      <w:r>
        <w:rPr>
          <w:spacing w:val="32"/>
        </w:rPr>
        <w:t> </w:t>
      </w:r>
      <w:r>
        <w:rPr/>
        <w:t>ιατρικές</w:t>
      </w:r>
      <w:r>
        <w:rPr>
          <w:spacing w:val="32"/>
        </w:rPr>
        <w:t> </w:t>
      </w:r>
      <w:r>
        <w:rPr/>
        <w:t>εξετάσεις</w:t>
      </w:r>
      <w:r>
        <w:rPr>
          <w:spacing w:val="32"/>
        </w:rPr>
        <w:t> </w:t>
      </w:r>
      <w:r>
        <w:rPr/>
        <w:t>από</w:t>
      </w:r>
      <w:r>
        <w:rPr>
          <w:spacing w:val="32"/>
        </w:rPr>
        <w:t> </w:t>
      </w:r>
      <w:r>
        <w:rPr/>
        <w:t>νοσηλευτικό</w:t>
      </w:r>
      <w:r>
        <w:rPr>
          <w:spacing w:val="32"/>
        </w:rPr>
        <w:t> </w:t>
      </w:r>
      <w:r>
        <w:rPr/>
        <w:t>ίδρυμα</w:t>
      </w:r>
      <w:r>
        <w:rPr>
          <w:spacing w:val="32"/>
        </w:rPr>
        <w:t> </w:t>
      </w:r>
      <w:r>
        <w:rPr/>
        <w:t>του</w:t>
      </w:r>
      <w:r>
        <w:rPr>
          <w:spacing w:val="32"/>
        </w:rPr>
        <w:t> </w:t>
      </w:r>
      <w:r>
        <w:rPr/>
        <w:t>Δημοσίου</w:t>
      </w:r>
      <w:r>
        <w:rPr>
          <w:spacing w:val="32"/>
        </w:rPr>
        <w:t> </w:t>
      </w:r>
      <w:r>
        <w:rPr/>
        <w:t>ή</w:t>
      </w:r>
      <w:r>
        <w:rPr>
          <w:spacing w:val="32"/>
        </w:rPr>
        <w:t> </w:t>
      </w:r>
      <w:r>
        <w:rPr/>
        <w:t>Ν.Π.Δ.Δ.</w:t>
      </w:r>
      <w:r>
        <w:rPr>
          <w:spacing w:val="32"/>
        </w:rPr>
        <w:t> </w:t>
      </w:r>
      <w:r>
        <w:rPr/>
        <w:t>ή ιατρό του δημοσίου ή και από ιδιώτη γιατρό:</w:t>
      </w:r>
    </w:p>
    <w:p>
      <w:pPr>
        <w:pStyle w:val="ListParagraph"/>
        <w:numPr>
          <w:ilvl w:val="0"/>
          <w:numId w:val="1"/>
        </w:numPr>
        <w:tabs>
          <w:tab w:pos="1379" w:val="left" w:leader="none"/>
        </w:tabs>
        <w:spacing w:line="240" w:lineRule="auto" w:before="200" w:after="0"/>
        <w:ind w:left="1379" w:right="0" w:hanging="215"/>
        <w:jc w:val="left"/>
        <w:rPr>
          <w:sz w:val="22"/>
        </w:rPr>
      </w:pPr>
      <w:r>
        <w:rPr>
          <w:sz w:val="22"/>
        </w:rPr>
        <w:t>βεβαίωση</w:t>
      </w:r>
      <w:r>
        <w:rPr>
          <w:spacing w:val="-2"/>
          <w:sz w:val="22"/>
        </w:rPr>
        <w:t> </w:t>
      </w:r>
      <w:r>
        <w:rPr>
          <w:sz w:val="22"/>
        </w:rPr>
        <w:t>οπτικής</w:t>
      </w:r>
      <w:r>
        <w:rPr>
          <w:spacing w:val="-2"/>
          <w:sz w:val="22"/>
        </w:rPr>
        <w:t> οξύτητας,</w:t>
      </w:r>
    </w:p>
    <w:p>
      <w:pPr>
        <w:pStyle w:val="BodyText"/>
        <w:spacing w:before="65"/>
      </w:pPr>
    </w:p>
    <w:p>
      <w:pPr>
        <w:pStyle w:val="ListParagraph"/>
        <w:numPr>
          <w:ilvl w:val="0"/>
          <w:numId w:val="1"/>
        </w:numPr>
        <w:tabs>
          <w:tab w:pos="1379" w:val="left" w:leader="none"/>
        </w:tabs>
        <w:spacing w:line="240" w:lineRule="auto" w:before="0" w:after="0"/>
        <w:ind w:left="1379" w:right="0" w:hanging="215"/>
        <w:jc w:val="left"/>
        <w:rPr>
          <w:sz w:val="22"/>
        </w:rPr>
      </w:pPr>
      <w:r>
        <w:rPr>
          <w:sz w:val="22"/>
        </w:rPr>
        <w:t>ακτινογραφία</w:t>
      </w:r>
      <w:r>
        <w:rPr>
          <w:spacing w:val="-7"/>
          <w:sz w:val="22"/>
        </w:rPr>
        <w:t> </w:t>
      </w:r>
      <w:r>
        <w:rPr>
          <w:sz w:val="22"/>
        </w:rPr>
        <w:t>θώρακα</w:t>
      </w:r>
      <w:r>
        <w:rPr>
          <w:spacing w:val="-5"/>
          <w:sz w:val="22"/>
        </w:rPr>
        <w:t> </w:t>
      </w:r>
      <w:r>
        <w:rPr>
          <w:sz w:val="22"/>
        </w:rPr>
        <w:t>με</w:t>
      </w:r>
      <w:r>
        <w:rPr>
          <w:spacing w:val="-5"/>
          <w:sz w:val="22"/>
        </w:rPr>
        <w:t> </w:t>
      </w:r>
      <w:r>
        <w:rPr>
          <w:sz w:val="22"/>
        </w:rPr>
        <w:t>σχετική</w:t>
      </w:r>
      <w:r>
        <w:rPr>
          <w:spacing w:val="-6"/>
          <w:sz w:val="22"/>
        </w:rPr>
        <w:t> </w:t>
      </w:r>
      <w:r>
        <w:rPr>
          <w:sz w:val="22"/>
        </w:rPr>
        <w:t>γνωμάτευση</w:t>
      </w:r>
      <w:r>
        <w:rPr>
          <w:spacing w:val="-6"/>
          <w:sz w:val="22"/>
        </w:rPr>
        <w:t> </w:t>
      </w:r>
      <w:r>
        <w:rPr>
          <w:spacing w:val="-5"/>
          <w:sz w:val="22"/>
        </w:rPr>
        <w:t>και</w:t>
      </w:r>
    </w:p>
    <w:p>
      <w:pPr>
        <w:pStyle w:val="BodyText"/>
        <w:spacing w:before="66"/>
      </w:pPr>
    </w:p>
    <w:p>
      <w:pPr>
        <w:pStyle w:val="ListParagraph"/>
        <w:numPr>
          <w:ilvl w:val="0"/>
          <w:numId w:val="1"/>
        </w:numPr>
        <w:tabs>
          <w:tab w:pos="1429" w:val="left" w:leader="none"/>
        </w:tabs>
        <w:spacing w:line="240" w:lineRule="auto" w:before="0" w:after="0"/>
        <w:ind w:left="1429" w:right="0" w:hanging="265"/>
        <w:jc w:val="left"/>
        <w:rPr>
          <w:sz w:val="22"/>
        </w:rPr>
      </w:pPr>
      <w:r>
        <w:rPr>
          <w:sz w:val="22"/>
        </w:rPr>
        <w:t>καρδιογράφημα</w:t>
      </w:r>
      <w:r>
        <w:rPr>
          <w:spacing w:val="-6"/>
          <w:sz w:val="22"/>
        </w:rPr>
        <w:t> </w:t>
      </w:r>
      <w:r>
        <w:rPr>
          <w:sz w:val="22"/>
        </w:rPr>
        <w:t>με</w:t>
      </w:r>
      <w:r>
        <w:rPr>
          <w:spacing w:val="-6"/>
          <w:sz w:val="22"/>
        </w:rPr>
        <w:t> </w:t>
      </w:r>
      <w:r>
        <w:rPr>
          <w:sz w:val="22"/>
        </w:rPr>
        <w:t>σχετική</w:t>
      </w:r>
      <w:r>
        <w:rPr>
          <w:spacing w:val="-5"/>
          <w:sz w:val="22"/>
        </w:rPr>
        <w:t> </w:t>
      </w:r>
      <w:r>
        <w:rPr>
          <w:spacing w:val="-2"/>
          <w:sz w:val="22"/>
        </w:rPr>
        <w:t>γνωμάτευση,</w:t>
      </w:r>
    </w:p>
    <w:p>
      <w:pPr>
        <w:pStyle w:val="BodyText"/>
        <w:spacing w:before="66"/>
      </w:pPr>
    </w:p>
    <w:p>
      <w:pPr>
        <w:pStyle w:val="BodyText"/>
        <w:spacing w:before="0"/>
        <w:ind w:left="696"/>
      </w:pPr>
      <w:r>
        <w:rPr>
          <w:spacing w:val="-4"/>
        </w:rPr>
        <w:t>είτε</w:t>
      </w:r>
    </w:p>
    <w:p>
      <w:pPr>
        <w:pStyle w:val="BodyText"/>
        <w:spacing w:before="65"/>
      </w:pPr>
    </w:p>
    <w:p>
      <w:pPr>
        <w:pStyle w:val="BodyText"/>
        <w:spacing w:line="360" w:lineRule="auto" w:before="1"/>
        <w:ind w:left="100" w:right="95" w:firstLine="596"/>
        <w:jc w:val="both"/>
      </w:pPr>
      <w:r>
        <w:rPr/>
        <w:t>αντί των ανωτέρω ιατρικών εξετάσεων, αντίγραφο δελτίου υγειονομικής εξέτασης ή βεβαίωση</w:t>
      </w:r>
      <w:r>
        <w:rPr>
          <w:spacing w:val="-1"/>
        </w:rPr>
        <w:t> </w:t>
      </w:r>
      <w:r>
        <w:rPr/>
        <w:t>ικανότητας</w:t>
      </w:r>
      <w:r>
        <w:rPr>
          <w:spacing w:val="-1"/>
        </w:rPr>
        <w:t> </w:t>
      </w:r>
      <w:r>
        <w:rPr/>
        <w:t>στα</w:t>
      </w:r>
      <w:r>
        <w:rPr>
          <w:spacing w:val="-1"/>
        </w:rPr>
        <w:t> </w:t>
      </w:r>
      <w:r>
        <w:rPr/>
        <w:t>οποία</w:t>
      </w:r>
      <w:r>
        <w:rPr>
          <w:spacing w:val="-1"/>
        </w:rPr>
        <w:t> </w:t>
      </w:r>
      <w:r>
        <w:rPr/>
        <w:t>θα</w:t>
      </w:r>
      <w:r>
        <w:rPr>
          <w:spacing w:val="-1"/>
        </w:rPr>
        <w:t> </w:t>
      </w:r>
      <w:r>
        <w:rPr/>
        <w:t>αναγράφεται</w:t>
      </w:r>
      <w:r>
        <w:rPr>
          <w:spacing w:val="-1"/>
        </w:rPr>
        <w:t> </w:t>
      </w:r>
      <w:r>
        <w:rPr/>
        <w:t>ότι</w:t>
      </w:r>
      <w:r>
        <w:rPr>
          <w:spacing w:val="-1"/>
        </w:rPr>
        <w:t> </w:t>
      </w:r>
      <w:r>
        <w:rPr/>
        <w:t>ο</w:t>
      </w:r>
      <w:r>
        <w:rPr>
          <w:spacing w:val="-1"/>
        </w:rPr>
        <w:t> </w:t>
      </w:r>
      <w:r>
        <w:rPr/>
        <w:t>υποψήφιος</w:t>
      </w:r>
      <w:r>
        <w:rPr>
          <w:spacing w:val="-1"/>
        </w:rPr>
        <w:t> </w:t>
      </w:r>
      <w:r>
        <w:rPr/>
        <w:t>έχει</w:t>
      </w:r>
      <w:r>
        <w:rPr>
          <w:spacing w:val="-1"/>
        </w:rPr>
        <w:t> </w:t>
      </w:r>
      <w:r>
        <w:rPr/>
        <w:t>κριθεί</w:t>
      </w:r>
      <w:r>
        <w:rPr>
          <w:spacing w:val="-1"/>
        </w:rPr>
        <w:t> </w:t>
      </w:r>
      <w:r>
        <w:rPr/>
        <w:t>κατάλληλος</w:t>
      </w:r>
      <w:r>
        <w:rPr>
          <w:spacing w:val="-1"/>
        </w:rPr>
        <w:t> </w:t>
      </w:r>
      <w:r>
        <w:rPr/>
        <w:t>από τις αρμόδιες Υγειονομικές Επιτροπές των Στρατιωτικών Σχολών ή των Αστυνομικών Σχολών ή των Σχολών Πυροσβεστικής Ακαδημίας ή των Σχολών Λιμενικού Σώματος Ελληνικής </w:t>
      </w:r>
      <w:r>
        <w:rPr>
          <w:spacing w:val="-2"/>
        </w:rPr>
        <w:t>Ακτοφυλακής.</w:t>
      </w:r>
    </w:p>
    <w:p>
      <w:pPr>
        <w:pStyle w:val="BodyText"/>
        <w:spacing w:line="360" w:lineRule="auto"/>
        <w:ind w:left="100" w:right="94" w:firstLine="540"/>
        <w:jc w:val="both"/>
      </w:pPr>
      <w:r>
        <w:rPr/>
        <w:t>Οι υποψήφιοι για τη συμμετοχή τους στη διαδικασία της</w:t>
      </w:r>
      <w:r>
        <w:rPr>
          <w:spacing w:val="40"/>
        </w:rPr>
        <w:t> </w:t>
      </w:r>
      <w:r>
        <w:rPr/>
        <w:t>υγειονομικής εξέτασης και πρακτικής δοκιμασίας (Αγωνίσματα) για την εισαγωγή τους στα Τ.Ε.Φ.Α.Α., </w:t>
      </w:r>
      <w:r>
        <w:rPr>
          <w:b/>
        </w:rPr>
        <w:t>υποβάλλουν σχετική αίτηση </w:t>
      </w:r>
      <w:r>
        <w:rPr/>
        <w:t>μαζί με τα ανωτέρω δικαιολογητικά κατά την πρώτη ημέρα προσέλευσής τους στις έδρες των</w:t>
      </w:r>
      <w:r>
        <w:rPr>
          <w:spacing w:val="40"/>
        </w:rPr>
        <w:t> </w:t>
      </w:r>
      <w:r>
        <w:rPr/>
        <w:t>Επιτροπών υγειονομικής εξέτασης και πρακτικής δοκιμασίας οι οποίες θα ανακοινωθούν σε επόμενο Δελτίο Τύπου.</w:t>
      </w:r>
    </w:p>
    <w:sectPr>
      <w:pgSz w:w="11910" w:h="16840"/>
      <w:pgMar w:top="1200" w:bottom="280" w:left="1700" w:right="1417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Roman"/>
      <w:lvlText w:val="%1)"/>
      <w:lvlJc w:val="left"/>
      <w:pPr>
        <w:ind w:left="1381" w:hanging="217"/>
        <w:jc w:val="left"/>
      </w:pPr>
      <w:rPr>
        <w:rFonts w:hint="default" w:ascii="Calibri" w:hAnsi="Calibri" w:eastAsia="Calibri" w:cs="Calibri"/>
        <w:b w:val="0"/>
        <w:bCs w:val="0"/>
        <w:i w:val="0"/>
        <w:iCs w:val="0"/>
        <w:spacing w:val="-1"/>
        <w:w w:val="100"/>
        <w:sz w:val="22"/>
        <w:szCs w:val="22"/>
        <w:lang w:val="el-GR" w:eastAsia="en-US" w:bidi="ar-SA"/>
      </w:rPr>
    </w:lvl>
    <w:lvl w:ilvl="1">
      <w:start w:val="0"/>
      <w:numFmt w:val="bullet"/>
      <w:lvlText w:val="•"/>
      <w:lvlJc w:val="left"/>
      <w:pPr>
        <w:ind w:left="2120" w:hanging="217"/>
      </w:pPr>
      <w:rPr>
        <w:rFonts w:hint="default"/>
        <w:lang w:val="el-GR" w:eastAsia="en-US" w:bidi="ar-SA"/>
      </w:rPr>
    </w:lvl>
    <w:lvl w:ilvl="2">
      <w:start w:val="0"/>
      <w:numFmt w:val="bullet"/>
      <w:lvlText w:val="•"/>
      <w:lvlJc w:val="left"/>
      <w:pPr>
        <w:ind w:left="2861" w:hanging="217"/>
      </w:pPr>
      <w:rPr>
        <w:rFonts w:hint="default"/>
        <w:lang w:val="el-GR" w:eastAsia="en-US" w:bidi="ar-SA"/>
      </w:rPr>
    </w:lvl>
    <w:lvl w:ilvl="3">
      <w:start w:val="0"/>
      <w:numFmt w:val="bullet"/>
      <w:lvlText w:val="•"/>
      <w:lvlJc w:val="left"/>
      <w:pPr>
        <w:ind w:left="3602" w:hanging="217"/>
      </w:pPr>
      <w:rPr>
        <w:rFonts w:hint="default"/>
        <w:lang w:val="el-GR" w:eastAsia="en-US" w:bidi="ar-SA"/>
      </w:rPr>
    </w:lvl>
    <w:lvl w:ilvl="4">
      <w:start w:val="0"/>
      <w:numFmt w:val="bullet"/>
      <w:lvlText w:val="•"/>
      <w:lvlJc w:val="left"/>
      <w:pPr>
        <w:ind w:left="4343" w:hanging="217"/>
      </w:pPr>
      <w:rPr>
        <w:rFonts w:hint="default"/>
        <w:lang w:val="el-GR" w:eastAsia="en-US" w:bidi="ar-SA"/>
      </w:rPr>
    </w:lvl>
    <w:lvl w:ilvl="5">
      <w:start w:val="0"/>
      <w:numFmt w:val="bullet"/>
      <w:lvlText w:val="•"/>
      <w:lvlJc w:val="left"/>
      <w:pPr>
        <w:ind w:left="5084" w:hanging="217"/>
      </w:pPr>
      <w:rPr>
        <w:rFonts w:hint="default"/>
        <w:lang w:val="el-GR" w:eastAsia="en-US" w:bidi="ar-SA"/>
      </w:rPr>
    </w:lvl>
    <w:lvl w:ilvl="6">
      <w:start w:val="0"/>
      <w:numFmt w:val="bullet"/>
      <w:lvlText w:val="•"/>
      <w:lvlJc w:val="left"/>
      <w:pPr>
        <w:ind w:left="5825" w:hanging="217"/>
      </w:pPr>
      <w:rPr>
        <w:rFonts w:hint="default"/>
        <w:lang w:val="el-GR" w:eastAsia="en-US" w:bidi="ar-SA"/>
      </w:rPr>
    </w:lvl>
    <w:lvl w:ilvl="7">
      <w:start w:val="0"/>
      <w:numFmt w:val="bullet"/>
      <w:lvlText w:val="•"/>
      <w:lvlJc w:val="left"/>
      <w:pPr>
        <w:ind w:left="6566" w:hanging="217"/>
      </w:pPr>
      <w:rPr>
        <w:rFonts w:hint="default"/>
        <w:lang w:val="el-GR" w:eastAsia="en-US" w:bidi="ar-SA"/>
      </w:rPr>
    </w:lvl>
    <w:lvl w:ilvl="8">
      <w:start w:val="0"/>
      <w:numFmt w:val="bullet"/>
      <w:lvlText w:val="•"/>
      <w:lvlJc w:val="left"/>
      <w:pPr>
        <w:ind w:left="7307" w:hanging="217"/>
      </w:pPr>
      <w:rPr>
        <w:rFonts w:hint="default"/>
        <w:lang w:val="el-GR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el-GR" w:eastAsia="en-US" w:bidi="ar-SA"/>
    </w:rPr>
  </w:style>
  <w:style w:styleId="BodyText" w:type="paragraph">
    <w:name w:val="Body Text"/>
    <w:basedOn w:val="Normal"/>
    <w:uiPriority w:val="1"/>
    <w:qFormat/>
    <w:pPr>
      <w:spacing w:before="200"/>
    </w:pPr>
    <w:rPr>
      <w:rFonts w:ascii="Calibri" w:hAnsi="Calibri" w:eastAsia="Calibri" w:cs="Calibri"/>
      <w:sz w:val="22"/>
      <w:szCs w:val="22"/>
      <w:lang w:val="el-GR" w:eastAsia="en-US" w:bidi="ar-SA"/>
    </w:rPr>
  </w:style>
  <w:style w:styleId="Title" w:type="paragraph">
    <w:name w:val="Title"/>
    <w:basedOn w:val="Normal"/>
    <w:uiPriority w:val="1"/>
    <w:qFormat/>
    <w:pPr>
      <w:ind w:left="2598" w:right="2878"/>
      <w:jc w:val="center"/>
    </w:pPr>
    <w:rPr>
      <w:rFonts w:ascii="Calibri" w:hAnsi="Calibri" w:eastAsia="Calibri" w:cs="Calibri"/>
      <w:b/>
      <w:bCs/>
      <w:sz w:val="24"/>
      <w:szCs w:val="24"/>
      <w:u w:val="single" w:color="000000"/>
      <w:lang w:val="el-GR" w:eastAsia="en-US" w:bidi="ar-SA"/>
    </w:rPr>
  </w:style>
  <w:style w:styleId="ListParagraph" w:type="paragraph">
    <w:name w:val="List Paragraph"/>
    <w:basedOn w:val="Normal"/>
    <w:uiPriority w:val="1"/>
    <w:qFormat/>
    <w:pPr>
      <w:ind w:left="1379" w:hanging="215"/>
    </w:pPr>
    <w:rPr>
      <w:rFonts w:ascii="Calibri" w:hAnsi="Calibri" w:eastAsia="Calibri" w:cs="Calibri"/>
      <w:lang w:val="el-G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l-G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Quest User</dc:creator>
  <dcterms:created xsi:type="dcterms:W3CDTF">2025-04-01T11:57:18Z</dcterms:created>
  <dcterms:modified xsi:type="dcterms:W3CDTF">2025-04-01T11:57:18Z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2025-03-14T00:00:00Z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2025-04-01T00:00:00Z</vt:filetime>
  </property>
  <property fmtid="{D5CDD505-2E9C-101B-9397-08002B2CF9AE}" pid="5" name="Producer">
    <vt:lpwstr>Aspose.Words for .NET 22.11.0</vt:lpwstr>
  </property>
</Properties>
</file>